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bookmarkStart w:id="0" w:name="_GoBack"/>
      <w:bookmarkEnd w:id="0"/>
    </w:p>
    <w:p w14:paraId="7C9E012F" w14:textId="171C9146"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1" w:name="_Ref452454252"/>
      <w:bookmarkEnd w:id="1"/>
      <w:r w:rsidRPr="004B6F45">
        <w:rPr>
          <w:rFonts w:eastAsia="Times New Roman"/>
          <w:bCs/>
          <w:sz w:val="24"/>
          <w:szCs w:val="24"/>
          <w:lang w:eastAsia="ja-JP"/>
        </w:rPr>
        <w:t>SG-RAN WG2 #</w:t>
      </w:r>
      <w:r w:rsidR="006C1790">
        <w:rPr>
          <w:rFonts w:eastAsia="Times New Roman"/>
          <w:bCs/>
          <w:sz w:val="24"/>
          <w:szCs w:val="24"/>
          <w:lang w:eastAsia="ja-JP"/>
        </w:rPr>
        <w:t>98</w:t>
      </w:r>
      <w:r>
        <w:rPr>
          <w:rFonts w:eastAsia="Times New Roman"/>
          <w:bCs/>
          <w:sz w:val="24"/>
          <w:szCs w:val="24"/>
          <w:lang w:eastAsia="ja-JP"/>
        </w:rPr>
        <w:t xml:space="preserve">                                                                                   </w:t>
      </w:r>
      <w:r w:rsidRPr="004B6F45">
        <w:rPr>
          <w:rFonts w:eastAsia="Times New Roman"/>
          <w:bCs/>
          <w:sz w:val="24"/>
          <w:szCs w:val="24"/>
          <w:lang w:eastAsia="ja-JP"/>
        </w:rPr>
        <w:tab/>
      </w:r>
      <w:r w:rsidR="008B71EB">
        <w:rPr>
          <w:rFonts w:eastAsia="Times New Roman"/>
          <w:bCs/>
          <w:sz w:val="24"/>
          <w:szCs w:val="24"/>
          <w:lang w:eastAsia="ja-JP"/>
        </w:rPr>
        <w:t xml:space="preserve">          </w:t>
      </w:r>
      <w:r w:rsidRPr="004B6F45">
        <w:rPr>
          <w:rFonts w:eastAsia="Times New Roman"/>
          <w:bCs/>
          <w:sz w:val="24"/>
          <w:szCs w:val="24"/>
          <w:lang w:eastAsia="ja-JP"/>
        </w:rPr>
        <w:t>R2-</w:t>
      </w:r>
      <w:r w:rsidR="008B71EB" w:rsidRPr="004B6F45">
        <w:rPr>
          <w:rFonts w:eastAsia="Times New Roman"/>
          <w:bCs/>
          <w:sz w:val="24"/>
          <w:szCs w:val="24"/>
          <w:lang w:eastAsia="ja-JP"/>
        </w:rPr>
        <w:t>17</w:t>
      </w:r>
      <w:r w:rsidR="008B71EB">
        <w:rPr>
          <w:rFonts w:eastAsia="Times New Roman"/>
          <w:bCs/>
          <w:sz w:val="24"/>
          <w:szCs w:val="24"/>
          <w:lang w:eastAsia="ja-JP"/>
        </w:rPr>
        <w:t>05517</w:t>
      </w:r>
    </w:p>
    <w:p w14:paraId="54A057F1" w14:textId="773A2D63" w:rsidR="00156A1A" w:rsidRDefault="006C1790"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6C1790">
        <w:rPr>
          <w:rFonts w:eastAsia="Times New Roman"/>
          <w:bCs/>
          <w:sz w:val="24"/>
          <w:szCs w:val="24"/>
          <w:lang w:eastAsia="ja-JP"/>
        </w:rPr>
        <w:t>Hangzhou, China, 15th – 19th May 2017</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61084073" w:rsidR="00156A1A" w:rsidRPr="009A6513" w:rsidRDefault="001B28F8" w:rsidP="0000505D">
      <w:pPr>
        <w:pStyle w:val="CRCoverPage"/>
        <w:ind w:left="1988" w:hanging="1988"/>
        <w:rPr>
          <w:b/>
          <w:noProof/>
          <w:sz w:val="24"/>
        </w:rPr>
      </w:pPr>
      <w:r>
        <w:rPr>
          <w:b/>
          <w:noProof/>
          <w:sz w:val="24"/>
        </w:rPr>
        <w:t>Agenda Item:</w:t>
      </w:r>
      <w:r>
        <w:rPr>
          <w:b/>
          <w:noProof/>
          <w:sz w:val="24"/>
        </w:rPr>
        <w:tab/>
      </w:r>
      <w:r w:rsidR="00B67776">
        <w:rPr>
          <w:b/>
          <w:noProof/>
          <w:sz w:val="24"/>
        </w:rPr>
        <w:t>10.</w:t>
      </w:r>
      <w:r w:rsidR="00C86B6F">
        <w:rPr>
          <w:b/>
          <w:noProof/>
          <w:sz w:val="24"/>
        </w:rPr>
        <w:t>2.2</w:t>
      </w:r>
    </w:p>
    <w:p w14:paraId="3495DAAD"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67392EA2"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C86B6F">
        <w:rPr>
          <w:b/>
          <w:noProof/>
          <w:sz w:val="24"/>
        </w:rPr>
        <w:t xml:space="preserve">On the use of PBR </w:t>
      </w:r>
      <w:r w:rsidR="008D2E5E">
        <w:rPr>
          <w:b/>
          <w:noProof/>
          <w:sz w:val="24"/>
        </w:rPr>
        <w:t xml:space="preserve">concept </w:t>
      </w:r>
      <w:r w:rsidR="00C86B6F">
        <w:rPr>
          <w:b/>
          <w:noProof/>
          <w:sz w:val="24"/>
        </w:rPr>
        <w:t xml:space="preserve">in </w:t>
      </w:r>
      <w:r w:rsidR="00D21FF6">
        <w:rPr>
          <w:b/>
          <w:noProof/>
          <w:sz w:val="24"/>
        </w:rPr>
        <w:t xml:space="preserve">NR </w:t>
      </w:r>
      <w:r w:rsidR="00C86B6F">
        <w:rPr>
          <w:b/>
          <w:noProof/>
          <w:sz w:val="24"/>
        </w:rPr>
        <w:t>MAC</w:t>
      </w:r>
      <w:r w:rsidR="00DB4C0A">
        <w:rPr>
          <w:b/>
          <w:noProof/>
          <w:sz w:val="24"/>
        </w:rPr>
        <w:t xml:space="preserve"> </w:t>
      </w:r>
    </w:p>
    <w:bookmarkEnd w:id="2"/>
    <w:bookmarkEnd w:id="3"/>
    <w:p w14:paraId="4941605F"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C3B2798" w14:textId="12CA8F74" w:rsidR="008135C8" w:rsidRDefault="00C86B6F" w:rsidP="008135C8">
      <w:pPr>
        <w:pStyle w:val="Doc-text2"/>
        <w:tabs>
          <w:tab w:val="left" w:pos="340"/>
        </w:tabs>
        <w:ind w:left="0" w:firstLine="0"/>
        <w:jc w:val="both"/>
      </w:pPr>
      <w:r>
        <w:t>In RAN2#97bis, it was agreed that “Priority, PBR concept is used in NR as baseline”. In this document, we would like to re-visit this agreement to examine the role of PBR in NR MAC.</w:t>
      </w:r>
    </w:p>
    <w:p w14:paraId="646ADDBD" w14:textId="34AF5D67" w:rsidR="00CC3365" w:rsidRPr="00CC3365" w:rsidRDefault="00CC3365" w:rsidP="00CC3365">
      <w:pPr>
        <w:pStyle w:val="Heading1"/>
        <w:rPr>
          <w:lang w:val="en-US" w:eastAsia="ko-KR"/>
        </w:rPr>
      </w:pPr>
      <w:r>
        <w:rPr>
          <w:lang w:val="en-US" w:eastAsia="ko-KR"/>
        </w:rPr>
        <w:t xml:space="preserve">2 </w:t>
      </w:r>
      <w:r w:rsidR="00C86B6F">
        <w:rPr>
          <w:lang w:val="en-US" w:eastAsia="ko-KR"/>
        </w:rPr>
        <w:t>Discussion</w:t>
      </w:r>
    </w:p>
    <w:p w14:paraId="333FCD02" w14:textId="3EDA3EF3" w:rsidR="001E39EA" w:rsidRDefault="00C86B6F" w:rsidP="00C86B6F">
      <w:pPr>
        <w:pStyle w:val="Doc-text2"/>
        <w:tabs>
          <w:tab w:val="left" w:pos="340"/>
        </w:tabs>
        <w:ind w:left="0" w:firstLine="0"/>
        <w:jc w:val="both"/>
      </w:pPr>
      <w:r>
        <w:t xml:space="preserve">Logical channel prioritization (LCP) is the basis for providing differentiated QoS in the LTE AS layer. The LCP mechanism in LTE is somewhat involved, </w:t>
      </w:r>
      <w:r w:rsidR="00FB4BC2">
        <w:t>requiring</w:t>
      </w:r>
      <w:r w:rsidR="00CC518D">
        <w:t xml:space="preserve"> </w:t>
      </w:r>
      <w:r w:rsidR="00F67CFE">
        <w:t>configuring</w:t>
      </w:r>
      <w:r>
        <w:t xml:space="preserve"> of a number of logical channel specific parameters, namely, Priority, Prioritized Bit Rate (PBR), and Bucket Size Duration (BSD). Of these, Priority, is in some sense, the most fundamental since it controls the order in which logical channels are served to fill up an uplink grant. Priority is the parameter that allows expeditious service of higher priority traffic over lower priority traffic. The other parameters (BSR and BSD) are used to ensure that starvation does not occur, and that over some period of time, traffic belonging to lower priority channels also gets transmitted.</w:t>
      </w:r>
    </w:p>
    <w:p w14:paraId="3030C429" w14:textId="77777777" w:rsidR="00C86B6F" w:rsidRDefault="00C86B6F" w:rsidP="00C86B6F">
      <w:pPr>
        <w:pStyle w:val="Doc-text2"/>
        <w:tabs>
          <w:tab w:val="left" w:pos="340"/>
        </w:tabs>
        <w:ind w:left="0" w:firstLine="0"/>
        <w:jc w:val="both"/>
      </w:pPr>
    </w:p>
    <w:p w14:paraId="528DECD3" w14:textId="267E41E6" w:rsidR="00C86B6F" w:rsidRDefault="00C86B6F" w:rsidP="00C86B6F">
      <w:pPr>
        <w:pStyle w:val="Doc-text2"/>
        <w:tabs>
          <w:tab w:val="left" w:pos="340"/>
        </w:tabs>
        <w:ind w:left="0" w:firstLine="0"/>
        <w:jc w:val="both"/>
        <w:rPr>
          <w:b/>
        </w:rPr>
      </w:pPr>
      <w:r w:rsidRPr="00C86B6F">
        <w:rPr>
          <w:b/>
        </w:rPr>
        <w:t xml:space="preserve">Observation 1: QoS differentiation is provided with </w:t>
      </w:r>
      <w:r>
        <w:rPr>
          <w:b/>
        </w:rPr>
        <w:t xml:space="preserve">the </w:t>
      </w:r>
      <w:r w:rsidRPr="00C86B6F">
        <w:rPr>
          <w:b/>
        </w:rPr>
        <w:t>Priority</w:t>
      </w:r>
      <w:r>
        <w:rPr>
          <w:b/>
        </w:rPr>
        <w:t xml:space="preserve"> parameter</w:t>
      </w:r>
      <w:r w:rsidRPr="00C86B6F">
        <w:rPr>
          <w:b/>
        </w:rPr>
        <w:t>, with the other parameters ensuring that starvation does not occur.</w:t>
      </w:r>
    </w:p>
    <w:p w14:paraId="29C34BA5" w14:textId="77777777" w:rsidR="00C86B6F" w:rsidRDefault="00C86B6F" w:rsidP="00C86B6F">
      <w:pPr>
        <w:pStyle w:val="Doc-text2"/>
        <w:tabs>
          <w:tab w:val="left" w:pos="340"/>
        </w:tabs>
        <w:ind w:left="0" w:firstLine="0"/>
        <w:jc w:val="both"/>
        <w:rPr>
          <w:b/>
        </w:rPr>
      </w:pPr>
    </w:p>
    <w:p w14:paraId="00061AF1" w14:textId="77777777" w:rsidR="00C86B6F" w:rsidRDefault="00C86B6F" w:rsidP="00C86B6F">
      <w:pPr>
        <w:pStyle w:val="Doc-text2"/>
        <w:tabs>
          <w:tab w:val="left" w:pos="340"/>
        </w:tabs>
        <w:ind w:left="0" w:firstLine="0"/>
        <w:jc w:val="both"/>
      </w:pPr>
      <w:r>
        <w:t xml:space="preserve">However, the use of parameters other than priority are responsible for the bulk of processing involved in the LTE LCP mechanism. This situation is likely to be exacerbated in NR with due to the shorter time budget for uplink grant processing. For this reason, it is worth discussing if we really need the full paraphernalia of LTE’s LCP mechanism for NR. One approach would be to employ a simplified LCP mechanism as proposed in </w:t>
      </w:r>
      <w:r>
        <w:fldChar w:fldCharType="begin"/>
      </w:r>
      <w:r>
        <w:instrText xml:space="preserve"> REF _Ref481693602 \r \h </w:instrText>
      </w:r>
      <w:r>
        <w:fldChar w:fldCharType="separate"/>
      </w:r>
      <w:r>
        <w:t>[1]</w:t>
      </w:r>
      <w:r>
        <w:fldChar w:fldCharType="end"/>
      </w:r>
      <w:r>
        <w:t xml:space="preserve">. However, a more fundamental approach would be to examine if we really need to use the PBR concept for NR. </w:t>
      </w:r>
    </w:p>
    <w:p w14:paraId="28C61E75" w14:textId="77777777" w:rsidR="00C86B6F" w:rsidRDefault="00C86B6F" w:rsidP="00C86B6F">
      <w:pPr>
        <w:pStyle w:val="Doc-text2"/>
        <w:tabs>
          <w:tab w:val="left" w:pos="340"/>
        </w:tabs>
        <w:ind w:left="0" w:firstLine="0"/>
        <w:jc w:val="both"/>
      </w:pPr>
    </w:p>
    <w:p w14:paraId="6B3B144C" w14:textId="1712F96D" w:rsidR="00C86B6F" w:rsidRDefault="00C86B6F" w:rsidP="00C86B6F">
      <w:pPr>
        <w:pStyle w:val="Doc-text2"/>
        <w:tabs>
          <w:tab w:val="left" w:pos="340"/>
        </w:tabs>
        <w:ind w:left="0" w:firstLine="0"/>
        <w:jc w:val="both"/>
      </w:pPr>
      <w:r>
        <w:t>An alternat</w:t>
      </w:r>
      <w:r w:rsidR="00F67CFE">
        <w:t>ive</w:t>
      </w:r>
      <w:r>
        <w:t xml:space="preserve"> mechanism would be to just use priority scheduling, where logical channels are served strictly in order of priority, with no attempt to prevent starvation. In this scheme, data belonging to higher priority logical channels </w:t>
      </w:r>
      <w:r w:rsidR="00F67CFE">
        <w:t>are</w:t>
      </w:r>
      <w:r>
        <w:t xml:space="preserve"> allowed to completely utilize an uplink grant, and a particular logical channel is only considered if all the data available in the higher priority logical channels are not sufficient to fill the uplink grant. </w:t>
      </w:r>
    </w:p>
    <w:p w14:paraId="31C3A846" w14:textId="77777777" w:rsidR="00C86B6F" w:rsidRDefault="00C86B6F" w:rsidP="00C86B6F">
      <w:pPr>
        <w:pStyle w:val="Doc-text2"/>
        <w:tabs>
          <w:tab w:val="left" w:pos="340"/>
        </w:tabs>
        <w:ind w:left="0" w:firstLine="0"/>
        <w:jc w:val="both"/>
      </w:pPr>
    </w:p>
    <w:p w14:paraId="45EF1993" w14:textId="3A4255CC" w:rsidR="00C86B6F" w:rsidRPr="00713B91" w:rsidRDefault="00C86B6F" w:rsidP="00C86B6F">
      <w:pPr>
        <w:pStyle w:val="Doc-text2"/>
        <w:tabs>
          <w:tab w:val="left" w:pos="340"/>
        </w:tabs>
        <w:ind w:left="0" w:firstLine="0"/>
        <w:jc w:val="both"/>
        <w:rPr>
          <w:b/>
        </w:rPr>
      </w:pPr>
      <w:r w:rsidRPr="00713B91">
        <w:rPr>
          <w:b/>
        </w:rPr>
        <w:t xml:space="preserve">Observation 2: A priority based LCP mechanism is simple, requiring the configuration of only the Priority parameter, and reduced processing complexity </w:t>
      </w:r>
      <w:r w:rsidR="005F5809" w:rsidRPr="00713B91">
        <w:rPr>
          <w:b/>
        </w:rPr>
        <w:t>compared</w:t>
      </w:r>
      <w:r w:rsidRPr="00713B91">
        <w:rPr>
          <w:b/>
        </w:rPr>
        <w:t xml:space="preserve"> to LTE’s LCP.</w:t>
      </w:r>
    </w:p>
    <w:p w14:paraId="4CF3707C" w14:textId="77777777" w:rsidR="00C86B6F" w:rsidRDefault="00C86B6F" w:rsidP="00C86B6F">
      <w:pPr>
        <w:pStyle w:val="Doc-text2"/>
        <w:tabs>
          <w:tab w:val="left" w:pos="340"/>
        </w:tabs>
        <w:ind w:left="0" w:firstLine="0"/>
        <w:jc w:val="both"/>
      </w:pPr>
    </w:p>
    <w:p w14:paraId="57335FF1" w14:textId="36093AC3" w:rsidR="00C86B6F" w:rsidRDefault="00C86B6F" w:rsidP="00C86B6F">
      <w:pPr>
        <w:pStyle w:val="Doc-text2"/>
        <w:tabs>
          <w:tab w:val="left" w:pos="340"/>
        </w:tabs>
        <w:ind w:left="0" w:firstLine="0"/>
        <w:jc w:val="both"/>
      </w:pPr>
      <w:r>
        <w:t>Given that NR will have much more capacity than LTE, it is expected that starvation is less of an issue than it was for LTE. Note that even LTE LCP allows strict priority based scheduling by setting the PBR parameter to infinity. However, if we agree that the PBR concept in not very useful in the first place, then it seems cleaner to just get rid of the concept altogether from the specification.</w:t>
      </w:r>
    </w:p>
    <w:p w14:paraId="49114176" w14:textId="77777777" w:rsidR="00C86B6F" w:rsidRDefault="00C86B6F" w:rsidP="00C86B6F">
      <w:pPr>
        <w:pStyle w:val="Doc-text2"/>
        <w:tabs>
          <w:tab w:val="left" w:pos="340"/>
        </w:tabs>
        <w:ind w:left="0" w:firstLine="0"/>
        <w:jc w:val="both"/>
      </w:pPr>
    </w:p>
    <w:p w14:paraId="1B201E16" w14:textId="3BA45128" w:rsidR="00C86B6F" w:rsidRPr="00076680" w:rsidRDefault="00C86B6F" w:rsidP="00C86B6F">
      <w:pPr>
        <w:pStyle w:val="Doc-text2"/>
        <w:tabs>
          <w:tab w:val="left" w:pos="340"/>
        </w:tabs>
        <w:ind w:left="0" w:firstLine="0"/>
        <w:jc w:val="both"/>
        <w:rPr>
          <w:b/>
        </w:rPr>
      </w:pPr>
      <w:r w:rsidRPr="00076680">
        <w:rPr>
          <w:b/>
        </w:rPr>
        <w:t>Proposal 1: NR LCP be based only on the Priority parameter.</w:t>
      </w:r>
    </w:p>
    <w:p w14:paraId="4A52B4A9" w14:textId="508B9055" w:rsidR="009C705B" w:rsidRDefault="007709E5" w:rsidP="00C86B6F">
      <w:pPr>
        <w:pStyle w:val="Heading1"/>
        <w:rPr>
          <w:lang w:val="en-US" w:eastAsia="ko-KR"/>
        </w:rPr>
      </w:pPr>
      <w:r>
        <w:rPr>
          <w:lang w:val="en-US" w:eastAsia="ko-KR"/>
        </w:rPr>
        <w:t xml:space="preserve">3 </w:t>
      </w:r>
      <w:r w:rsidR="000C2A92">
        <w:rPr>
          <w:lang w:val="en-US" w:eastAsia="ko-KR"/>
        </w:rPr>
        <w:t>Conclusions</w:t>
      </w:r>
    </w:p>
    <w:p w14:paraId="5F7C2F18" w14:textId="34603695" w:rsidR="0042007B" w:rsidRDefault="00417E33" w:rsidP="00C86B6F">
      <w:pPr>
        <w:jc w:val="both"/>
        <w:rPr>
          <w:rFonts w:ascii="Arial" w:eastAsia="MS Mincho" w:hAnsi="Arial" w:cs="Arial"/>
          <w:szCs w:val="24"/>
        </w:rPr>
      </w:pPr>
      <w:r w:rsidRPr="00DE1583">
        <w:rPr>
          <w:rFonts w:ascii="Arial" w:eastAsia="MS Mincho" w:hAnsi="Arial" w:cs="Arial"/>
          <w:szCs w:val="24"/>
        </w:rPr>
        <w:t xml:space="preserve">In this contribution, we have discussed </w:t>
      </w:r>
      <w:r w:rsidR="00076680">
        <w:rPr>
          <w:rFonts w:ascii="Arial" w:eastAsia="MS Mincho" w:hAnsi="Arial" w:cs="Arial"/>
          <w:szCs w:val="24"/>
        </w:rPr>
        <w:t>the LCP mechanism for NR. Our observations and proposal are summarized below.</w:t>
      </w:r>
    </w:p>
    <w:p w14:paraId="43012260" w14:textId="77777777" w:rsidR="00076680" w:rsidRDefault="00076680" w:rsidP="00076680">
      <w:pPr>
        <w:pStyle w:val="Doc-text2"/>
        <w:tabs>
          <w:tab w:val="left" w:pos="340"/>
        </w:tabs>
        <w:ind w:left="0" w:firstLine="0"/>
        <w:jc w:val="both"/>
        <w:rPr>
          <w:b/>
        </w:rPr>
      </w:pPr>
      <w:r w:rsidRPr="00C86B6F">
        <w:rPr>
          <w:b/>
        </w:rPr>
        <w:t xml:space="preserve">Observation 1: QoS differentiation is provided with </w:t>
      </w:r>
      <w:r>
        <w:rPr>
          <w:b/>
        </w:rPr>
        <w:t xml:space="preserve">the </w:t>
      </w:r>
      <w:r w:rsidRPr="00C86B6F">
        <w:rPr>
          <w:b/>
        </w:rPr>
        <w:t>Priority</w:t>
      </w:r>
      <w:r>
        <w:rPr>
          <w:b/>
        </w:rPr>
        <w:t xml:space="preserve"> parameter</w:t>
      </w:r>
      <w:r w:rsidRPr="00C86B6F">
        <w:rPr>
          <w:b/>
        </w:rPr>
        <w:t>, with the other parameters ensuring that starvation does not occur.</w:t>
      </w:r>
    </w:p>
    <w:p w14:paraId="1D9093F2" w14:textId="77777777" w:rsidR="00076680" w:rsidRDefault="00076680" w:rsidP="00076680">
      <w:pPr>
        <w:pStyle w:val="Doc-text2"/>
        <w:tabs>
          <w:tab w:val="left" w:pos="340"/>
        </w:tabs>
        <w:ind w:left="0" w:firstLine="0"/>
        <w:jc w:val="both"/>
        <w:rPr>
          <w:b/>
        </w:rPr>
      </w:pPr>
    </w:p>
    <w:p w14:paraId="60FBAF9A" w14:textId="1DE23439" w:rsidR="00076680" w:rsidRDefault="00076680" w:rsidP="00076680">
      <w:pPr>
        <w:pStyle w:val="Doc-text2"/>
        <w:tabs>
          <w:tab w:val="left" w:pos="340"/>
        </w:tabs>
        <w:ind w:left="0" w:firstLine="0"/>
        <w:jc w:val="both"/>
        <w:rPr>
          <w:b/>
        </w:rPr>
      </w:pPr>
      <w:r w:rsidRPr="00076680">
        <w:rPr>
          <w:b/>
        </w:rPr>
        <w:t xml:space="preserve">Observation 2: A priority based LCP mechanism is simple, requiring the configuration of only the Priority parameter, and reduced processing complexity </w:t>
      </w:r>
      <w:r w:rsidR="005F5809" w:rsidRPr="00076680">
        <w:rPr>
          <w:b/>
        </w:rPr>
        <w:t>compared</w:t>
      </w:r>
      <w:r w:rsidRPr="00076680">
        <w:rPr>
          <w:b/>
        </w:rPr>
        <w:t xml:space="preserve"> to LTE’s LCP.</w:t>
      </w:r>
    </w:p>
    <w:p w14:paraId="5B8034E2" w14:textId="77777777" w:rsidR="00076680" w:rsidRPr="00076680" w:rsidRDefault="00076680" w:rsidP="00076680">
      <w:pPr>
        <w:pStyle w:val="Doc-text2"/>
        <w:tabs>
          <w:tab w:val="left" w:pos="340"/>
        </w:tabs>
        <w:ind w:left="0" w:firstLine="0"/>
        <w:jc w:val="both"/>
        <w:rPr>
          <w:b/>
        </w:rPr>
      </w:pPr>
    </w:p>
    <w:p w14:paraId="2F4CE7AA" w14:textId="0E55BEFF" w:rsidR="00076680" w:rsidRPr="00076680" w:rsidRDefault="00076680" w:rsidP="00076680">
      <w:pPr>
        <w:pStyle w:val="Doc-text2"/>
        <w:tabs>
          <w:tab w:val="left" w:pos="340"/>
        </w:tabs>
        <w:ind w:left="0" w:firstLine="0"/>
        <w:jc w:val="both"/>
        <w:rPr>
          <w:b/>
        </w:rPr>
      </w:pPr>
      <w:r w:rsidRPr="00076680">
        <w:rPr>
          <w:b/>
        </w:rPr>
        <w:t>Proposal 1: NR LCP be based only on the Priority parameter</w:t>
      </w:r>
      <w:r>
        <w:rPr>
          <w:b/>
        </w:rPr>
        <w:t>.</w:t>
      </w:r>
    </w:p>
    <w:p w14:paraId="330A4C0A" w14:textId="77777777" w:rsidR="00EF622C" w:rsidRDefault="00753406" w:rsidP="00F54927">
      <w:pPr>
        <w:pStyle w:val="Heading1"/>
        <w:pBdr>
          <w:top w:val="single" w:sz="12" w:space="0" w:color="auto"/>
        </w:pBdr>
        <w:rPr>
          <w:lang w:val="en-US" w:eastAsia="ko-KR"/>
        </w:rPr>
      </w:pPr>
      <w:r>
        <w:rPr>
          <w:lang w:val="en-US" w:eastAsia="ko-KR"/>
        </w:rPr>
        <w:lastRenderedPageBreak/>
        <w:t>5</w:t>
      </w:r>
      <w:r w:rsidR="00EF622C">
        <w:rPr>
          <w:lang w:val="en-US" w:eastAsia="ko-KR"/>
        </w:rPr>
        <w:t xml:space="preserve"> References</w:t>
      </w:r>
    </w:p>
    <w:p w14:paraId="152CF076" w14:textId="6A6889DF" w:rsidR="00C86B6F" w:rsidRDefault="00C86B6F" w:rsidP="0071328C">
      <w:pPr>
        <w:pStyle w:val="ListParagraph"/>
        <w:numPr>
          <w:ilvl w:val="0"/>
          <w:numId w:val="21"/>
        </w:numPr>
        <w:spacing w:after="60"/>
        <w:rPr>
          <w:rFonts w:ascii="Arial" w:hAnsi="Arial" w:cs="Arial"/>
          <w:sz w:val="20"/>
          <w:szCs w:val="20"/>
          <w:lang w:eastAsia="ko-KR"/>
        </w:rPr>
      </w:pPr>
      <w:bookmarkStart w:id="4" w:name="_Ref481693602"/>
      <w:bookmarkStart w:id="5" w:name="_Ref470258823"/>
      <w:bookmarkStart w:id="6" w:name="_Ref469926464"/>
      <w:r>
        <w:rPr>
          <w:rFonts w:ascii="Arial" w:hAnsi="Arial" w:cs="Arial"/>
          <w:sz w:val="20"/>
          <w:szCs w:val="20"/>
          <w:lang w:eastAsia="ko-KR"/>
        </w:rPr>
        <w:t>R2-17xxxxx, Enhancements to logical channel prioritization for latency, MediaTek Inc.</w:t>
      </w:r>
      <w:bookmarkEnd w:id="4"/>
    </w:p>
    <w:bookmarkEnd w:id="5"/>
    <w:bookmarkEnd w:id="6"/>
    <w:sectPr w:rsidR="00C86B6F"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3DD4" w14:textId="77777777" w:rsidR="0036662B" w:rsidRDefault="0036662B">
      <w:r>
        <w:separator/>
      </w:r>
    </w:p>
  </w:endnote>
  <w:endnote w:type="continuationSeparator" w:id="0">
    <w:p w14:paraId="70B71396"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BCAD7" w14:textId="77777777" w:rsidR="007B6FE1" w:rsidRDefault="007B6F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F05F2" w14:textId="77777777" w:rsidR="007B6FE1" w:rsidRDefault="007B6F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16AD7" w14:textId="77777777" w:rsidR="007B6FE1" w:rsidRDefault="007B6F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9BD29" w14:textId="77777777" w:rsidR="0036662B" w:rsidRDefault="0036662B">
      <w:r>
        <w:separator/>
      </w:r>
    </w:p>
  </w:footnote>
  <w:footnote w:type="continuationSeparator" w:id="0">
    <w:p w14:paraId="22358199" w14:textId="77777777"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7B8F" w14:textId="77777777" w:rsidR="007B6FE1" w:rsidRDefault="007B6F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FBF9B" w14:textId="77777777" w:rsidR="007B6FE1" w:rsidRDefault="007B6F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A9D67" w14:textId="77777777" w:rsidR="007B6FE1" w:rsidRDefault="007B6F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66A98"/>
    <w:multiLevelType w:val="hybridMultilevel"/>
    <w:tmpl w:val="582E65BE"/>
    <w:lvl w:ilvl="0" w:tplc="3F589A56">
      <w:numFmt w:val="bullet"/>
      <w:lvlText w:val="-"/>
      <w:lvlJc w:val="left"/>
      <w:pPr>
        <w:ind w:left="1080" w:hanging="360"/>
      </w:pPr>
      <w:rPr>
        <w:rFonts w:ascii="Bookman Old Style" w:eastAsiaTheme="minorEastAsia" w:hAnsi="Bookman Old Style"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544209"/>
    <w:multiLevelType w:val="hybridMultilevel"/>
    <w:tmpl w:val="10D61D3E"/>
    <w:lvl w:ilvl="0" w:tplc="55B222CC">
      <w:start w:val="1"/>
      <w:numFmt w:val="bullet"/>
      <w:lvlText w:val="•"/>
      <w:lvlJc w:val="left"/>
      <w:pPr>
        <w:tabs>
          <w:tab w:val="num" w:pos="720"/>
        </w:tabs>
        <w:ind w:left="720" w:hanging="360"/>
      </w:pPr>
      <w:rPr>
        <w:rFonts w:ascii="Arial" w:hAnsi="Arial" w:hint="default"/>
      </w:rPr>
    </w:lvl>
    <w:lvl w:ilvl="1" w:tplc="75580C54">
      <w:start w:val="582"/>
      <w:numFmt w:val="bullet"/>
      <w:lvlText w:val="–"/>
      <w:lvlJc w:val="left"/>
      <w:pPr>
        <w:tabs>
          <w:tab w:val="num" w:pos="1440"/>
        </w:tabs>
        <w:ind w:left="1440" w:hanging="360"/>
      </w:pPr>
      <w:rPr>
        <w:rFonts w:ascii="Calibri Light" w:hAnsi="Calibri Light" w:hint="default"/>
      </w:rPr>
    </w:lvl>
    <w:lvl w:ilvl="2" w:tplc="688EB14E">
      <w:start w:val="582"/>
      <w:numFmt w:val="bullet"/>
      <w:lvlText w:val="-"/>
      <w:lvlJc w:val="left"/>
      <w:pPr>
        <w:tabs>
          <w:tab w:val="num" w:pos="2160"/>
        </w:tabs>
        <w:ind w:left="2160" w:hanging="360"/>
      </w:pPr>
      <w:rPr>
        <w:rFonts w:ascii="Arial" w:hAnsi="Arial" w:hint="default"/>
      </w:rPr>
    </w:lvl>
    <w:lvl w:ilvl="3" w:tplc="6E9A88A6" w:tentative="1">
      <w:start w:val="1"/>
      <w:numFmt w:val="bullet"/>
      <w:lvlText w:val="•"/>
      <w:lvlJc w:val="left"/>
      <w:pPr>
        <w:tabs>
          <w:tab w:val="num" w:pos="2880"/>
        </w:tabs>
        <w:ind w:left="2880" w:hanging="360"/>
      </w:pPr>
      <w:rPr>
        <w:rFonts w:ascii="Arial" w:hAnsi="Arial" w:hint="default"/>
      </w:rPr>
    </w:lvl>
    <w:lvl w:ilvl="4" w:tplc="C2D62D2A" w:tentative="1">
      <w:start w:val="1"/>
      <w:numFmt w:val="bullet"/>
      <w:lvlText w:val="•"/>
      <w:lvlJc w:val="left"/>
      <w:pPr>
        <w:tabs>
          <w:tab w:val="num" w:pos="3600"/>
        </w:tabs>
        <w:ind w:left="3600" w:hanging="360"/>
      </w:pPr>
      <w:rPr>
        <w:rFonts w:ascii="Arial" w:hAnsi="Arial" w:hint="default"/>
      </w:rPr>
    </w:lvl>
    <w:lvl w:ilvl="5" w:tplc="1A14EED8" w:tentative="1">
      <w:start w:val="1"/>
      <w:numFmt w:val="bullet"/>
      <w:lvlText w:val="•"/>
      <w:lvlJc w:val="left"/>
      <w:pPr>
        <w:tabs>
          <w:tab w:val="num" w:pos="4320"/>
        </w:tabs>
        <w:ind w:left="4320" w:hanging="360"/>
      </w:pPr>
      <w:rPr>
        <w:rFonts w:ascii="Arial" w:hAnsi="Arial" w:hint="default"/>
      </w:rPr>
    </w:lvl>
    <w:lvl w:ilvl="6" w:tplc="63B80AD6" w:tentative="1">
      <w:start w:val="1"/>
      <w:numFmt w:val="bullet"/>
      <w:lvlText w:val="•"/>
      <w:lvlJc w:val="left"/>
      <w:pPr>
        <w:tabs>
          <w:tab w:val="num" w:pos="5040"/>
        </w:tabs>
        <w:ind w:left="5040" w:hanging="360"/>
      </w:pPr>
      <w:rPr>
        <w:rFonts w:ascii="Arial" w:hAnsi="Arial" w:hint="default"/>
      </w:rPr>
    </w:lvl>
    <w:lvl w:ilvl="7" w:tplc="212AC952" w:tentative="1">
      <w:start w:val="1"/>
      <w:numFmt w:val="bullet"/>
      <w:lvlText w:val="•"/>
      <w:lvlJc w:val="left"/>
      <w:pPr>
        <w:tabs>
          <w:tab w:val="num" w:pos="5760"/>
        </w:tabs>
        <w:ind w:left="5760" w:hanging="360"/>
      </w:pPr>
      <w:rPr>
        <w:rFonts w:ascii="Arial" w:hAnsi="Arial" w:hint="default"/>
      </w:rPr>
    </w:lvl>
    <w:lvl w:ilvl="8" w:tplc="0D583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60FAB"/>
    <w:multiLevelType w:val="hybridMultilevel"/>
    <w:tmpl w:val="D5164EC2"/>
    <w:lvl w:ilvl="0" w:tplc="E7EE2BF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3F7A05"/>
    <w:multiLevelType w:val="hybridMultilevel"/>
    <w:tmpl w:val="DC485222"/>
    <w:lvl w:ilvl="0" w:tplc="73B6A958">
      <w:start w:val="1"/>
      <w:numFmt w:val="bullet"/>
      <w:lvlText w:val="•"/>
      <w:lvlJc w:val="left"/>
      <w:pPr>
        <w:tabs>
          <w:tab w:val="num" w:pos="720"/>
        </w:tabs>
        <w:ind w:left="720" w:hanging="360"/>
      </w:pPr>
      <w:rPr>
        <w:rFonts w:ascii="Arial" w:hAnsi="Arial" w:hint="default"/>
      </w:rPr>
    </w:lvl>
    <w:lvl w:ilvl="1" w:tplc="28383062" w:tentative="1">
      <w:start w:val="1"/>
      <w:numFmt w:val="bullet"/>
      <w:lvlText w:val="•"/>
      <w:lvlJc w:val="left"/>
      <w:pPr>
        <w:tabs>
          <w:tab w:val="num" w:pos="1440"/>
        </w:tabs>
        <w:ind w:left="1440" w:hanging="360"/>
      </w:pPr>
      <w:rPr>
        <w:rFonts w:ascii="Arial" w:hAnsi="Arial" w:hint="default"/>
      </w:rPr>
    </w:lvl>
    <w:lvl w:ilvl="2" w:tplc="696E0682" w:tentative="1">
      <w:start w:val="1"/>
      <w:numFmt w:val="bullet"/>
      <w:lvlText w:val="•"/>
      <w:lvlJc w:val="left"/>
      <w:pPr>
        <w:tabs>
          <w:tab w:val="num" w:pos="2160"/>
        </w:tabs>
        <w:ind w:left="2160" w:hanging="360"/>
      </w:pPr>
      <w:rPr>
        <w:rFonts w:ascii="Arial" w:hAnsi="Arial" w:hint="default"/>
      </w:rPr>
    </w:lvl>
    <w:lvl w:ilvl="3" w:tplc="EB641772" w:tentative="1">
      <w:start w:val="1"/>
      <w:numFmt w:val="bullet"/>
      <w:lvlText w:val="•"/>
      <w:lvlJc w:val="left"/>
      <w:pPr>
        <w:tabs>
          <w:tab w:val="num" w:pos="2880"/>
        </w:tabs>
        <w:ind w:left="2880" w:hanging="360"/>
      </w:pPr>
      <w:rPr>
        <w:rFonts w:ascii="Arial" w:hAnsi="Arial" w:hint="default"/>
      </w:rPr>
    </w:lvl>
    <w:lvl w:ilvl="4" w:tplc="B2E44A4A" w:tentative="1">
      <w:start w:val="1"/>
      <w:numFmt w:val="bullet"/>
      <w:lvlText w:val="•"/>
      <w:lvlJc w:val="left"/>
      <w:pPr>
        <w:tabs>
          <w:tab w:val="num" w:pos="3600"/>
        </w:tabs>
        <w:ind w:left="3600" w:hanging="360"/>
      </w:pPr>
      <w:rPr>
        <w:rFonts w:ascii="Arial" w:hAnsi="Arial" w:hint="default"/>
      </w:rPr>
    </w:lvl>
    <w:lvl w:ilvl="5" w:tplc="78B4EE6A" w:tentative="1">
      <w:start w:val="1"/>
      <w:numFmt w:val="bullet"/>
      <w:lvlText w:val="•"/>
      <w:lvlJc w:val="left"/>
      <w:pPr>
        <w:tabs>
          <w:tab w:val="num" w:pos="4320"/>
        </w:tabs>
        <w:ind w:left="4320" w:hanging="360"/>
      </w:pPr>
      <w:rPr>
        <w:rFonts w:ascii="Arial" w:hAnsi="Arial" w:hint="default"/>
      </w:rPr>
    </w:lvl>
    <w:lvl w:ilvl="6" w:tplc="14823402" w:tentative="1">
      <w:start w:val="1"/>
      <w:numFmt w:val="bullet"/>
      <w:lvlText w:val="•"/>
      <w:lvlJc w:val="left"/>
      <w:pPr>
        <w:tabs>
          <w:tab w:val="num" w:pos="5040"/>
        </w:tabs>
        <w:ind w:left="5040" w:hanging="360"/>
      </w:pPr>
      <w:rPr>
        <w:rFonts w:ascii="Arial" w:hAnsi="Arial" w:hint="default"/>
      </w:rPr>
    </w:lvl>
    <w:lvl w:ilvl="7" w:tplc="965814AC" w:tentative="1">
      <w:start w:val="1"/>
      <w:numFmt w:val="bullet"/>
      <w:lvlText w:val="•"/>
      <w:lvlJc w:val="left"/>
      <w:pPr>
        <w:tabs>
          <w:tab w:val="num" w:pos="5760"/>
        </w:tabs>
        <w:ind w:left="5760" w:hanging="360"/>
      </w:pPr>
      <w:rPr>
        <w:rFonts w:ascii="Arial" w:hAnsi="Arial" w:hint="default"/>
      </w:rPr>
    </w:lvl>
    <w:lvl w:ilvl="8" w:tplc="5E94D8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35473"/>
    <w:multiLevelType w:val="hybridMultilevel"/>
    <w:tmpl w:val="2758BDFC"/>
    <w:lvl w:ilvl="0" w:tplc="FC4A5D42">
      <w:start w:val="1"/>
      <w:numFmt w:val="bullet"/>
      <w:lvlText w:val="•"/>
      <w:lvlJc w:val="left"/>
      <w:pPr>
        <w:tabs>
          <w:tab w:val="num" w:pos="720"/>
        </w:tabs>
        <w:ind w:left="720" w:hanging="360"/>
      </w:pPr>
      <w:rPr>
        <w:rFonts w:ascii="Arial" w:hAnsi="Arial" w:hint="default"/>
      </w:rPr>
    </w:lvl>
    <w:lvl w:ilvl="1" w:tplc="0E949B18">
      <w:start w:val="1015"/>
      <w:numFmt w:val="bullet"/>
      <w:lvlText w:val="–"/>
      <w:lvlJc w:val="left"/>
      <w:pPr>
        <w:tabs>
          <w:tab w:val="num" w:pos="1440"/>
        </w:tabs>
        <w:ind w:left="1440" w:hanging="360"/>
      </w:pPr>
      <w:rPr>
        <w:rFonts w:ascii="Calibri Light" w:hAnsi="Calibri Light" w:hint="default"/>
      </w:rPr>
    </w:lvl>
    <w:lvl w:ilvl="2" w:tplc="6C546D64">
      <w:start w:val="1015"/>
      <w:numFmt w:val="bullet"/>
      <w:lvlText w:val="-"/>
      <w:lvlJc w:val="left"/>
      <w:pPr>
        <w:tabs>
          <w:tab w:val="num" w:pos="2160"/>
        </w:tabs>
        <w:ind w:left="2160" w:hanging="360"/>
      </w:pPr>
      <w:rPr>
        <w:rFonts w:ascii="Arial" w:hAnsi="Arial" w:hint="default"/>
      </w:rPr>
    </w:lvl>
    <w:lvl w:ilvl="3" w:tplc="1D6E8A0C" w:tentative="1">
      <w:start w:val="1"/>
      <w:numFmt w:val="bullet"/>
      <w:lvlText w:val="•"/>
      <w:lvlJc w:val="left"/>
      <w:pPr>
        <w:tabs>
          <w:tab w:val="num" w:pos="2880"/>
        </w:tabs>
        <w:ind w:left="2880" w:hanging="360"/>
      </w:pPr>
      <w:rPr>
        <w:rFonts w:ascii="Arial" w:hAnsi="Arial" w:hint="default"/>
      </w:rPr>
    </w:lvl>
    <w:lvl w:ilvl="4" w:tplc="6100C4AC" w:tentative="1">
      <w:start w:val="1"/>
      <w:numFmt w:val="bullet"/>
      <w:lvlText w:val="•"/>
      <w:lvlJc w:val="left"/>
      <w:pPr>
        <w:tabs>
          <w:tab w:val="num" w:pos="3600"/>
        </w:tabs>
        <w:ind w:left="3600" w:hanging="360"/>
      </w:pPr>
      <w:rPr>
        <w:rFonts w:ascii="Arial" w:hAnsi="Arial" w:hint="default"/>
      </w:rPr>
    </w:lvl>
    <w:lvl w:ilvl="5" w:tplc="6D34C0E4" w:tentative="1">
      <w:start w:val="1"/>
      <w:numFmt w:val="bullet"/>
      <w:lvlText w:val="•"/>
      <w:lvlJc w:val="left"/>
      <w:pPr>
        <w:tabs>
          <w:tab w:val="num" w:pos="4320"/>
        </w:tabs>
        <w:ind w:left="4320" w:hanging="360"/>
      </w:pPr>
      <w:rPr>
        <w:rFonts w:ascii="Arial" w:hAnsi="Arial" w:hint="default"/>
      </w:rPr>
    </w:lvl>
    <w:lvl w:ilvl="6" w:tplc="80105E6E" w:tentative="1">
      <w:start w:val="1"/>
      <w:numFmt w:val="bullet"/>
      <w:lvlText w:val="•"/>
      <w:lvlJc w:val="left"/>
      <w:pPr>
        <w:tabs>
          <w:tab w:val="num" w:pos="5040"/>
        </w:tabs>
        <w:ind w:left="5040" w:hanging="360"/>
      </w:pPr>
      <w:rPr>
        <w:rFonts w:ascii="Arial" w:hAnsi="Arial" w:hint="default"/>
      </w:rPr>
    </w:lvl>
    <w:lvl w:ilvl="7" w:tplc="1EC269E8" w:tentative="1">
      <w:start w:val="1"/>
      <w:numFmt w:val="bullet"/>
      <w:lvlText w:val="•"/>
      <w:lvlJc w:val="left"/>
      <w:pPr>
        <w:tabs>
          <w:tab w:val="num" w:pos="5760"/>
        </w:tabs>
        <w:ind w:left="5760" w:hanging="360"/>
      </w:pPr>
      <w:rPr>
        <w:rFonts w:ascii="Arial" w:hAnsi="Arial" w:hint="default"/>
      </w:rPr>
    </w:lvl>
    <w:lvl w:ilvl="8" w:tplc="58A893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2"/>
  </w:num>
  <w:num w:numId="3">
    <w:abstractNumId w:val="19"/>
  </w:num>
  <w:num w:numId="4">
    <w:abstractNumId w:val="9"/>
  </w:num>
  <w:num w:numId="5">
    <w:abstractNumId w:val="47"/>
  </w:num>
  <w:num w:numId="6">
    <w:abstractNumId w:val="31"/>
  </w:num>
  <w:num w:numId="7">
    <w:abstractNumId w:val="27"/>
  </w:num>
  <w:num w:numId="8">
    <w:abstractNumId w:val="13"/>
  </w:num>
  <w:num w:numId="9">
    <w:abstractNumId w:val="36"/>
  </w:num>
  <w:num w:numId="10">
    <w:abstractNumId w:val="14"/>
  </w:num>
  <w:num w:numId="11">
    <w:abstractNumId w:val="4"/>
  </w:num>
  <w:num w:numId="12">
    <w:abstractNumId w:val="3"/>
  </w:num>
  <w:num w:numId="13">
    <w:abstractNumId w:val="37"/>
  </w:num>
  <w:num w:numId="14">
    <w:abstractNumId w:val="39"/>
  </w:num>
  <w:num w:numId="15">
    <w:abstractNumId w:val="15"/>
  </w:num>
  <w:num w:numId="16">
    <w:abstractNumId w:val="43"/>
  </w:num>
  <w:num w:numId="17">
    <w:abstractNumId w:val="25"/>
  </w:num>
  <w:num w:numId="18">
    <w:abstractNumId w:val="44"/>
  </w:num>
  <w:num w:numId="19">
    <w:abstractNumId w:val="41"/>
  </w:num>
  <w:num w:numId="20">
    <w:abstractNumId w:val="20"/>
  </w:num>
  <w:num w:numId="21">
    <w:abstractNumId w:val="0"/>
  </w:num>
  <w:num w:numId="22">
    <w:abstractNumId w:val="26"/>
  </w:num>
  <w:num w:numId="23">
    <w:abstractNumId w:val="11"/>
  </w:num>
  <w:num w:numId="24">
    <w:abstractNumId w:val="21"/>
  </w:num>
  <w:num w:numId="25">
    <w:abstractNumId w:val="2"/>
  </w:num>
  <w:num w:numId="26">
    <w:abstractNumId w:val="29"/>
  </w:num>
  <w:num w:numId="27">
    <w:abstractNumId w:val="46"/>
  </w:num>
  <w:num w:numId="28">
    <w:abstractNumId w:val="30"/>
  </w:num>
  <w:num w:numId="29">
    <w:abstractNumId w:val="38"/>
  </w:num>
  <w:num w:numId="30">
    <w:abstractNumId w:val="35"/>
  </w:num>
  <w:num w:numId="31">
    <w:abstractNumId w:val="24"/>
  </w:num>
  <w:num w:numId="32">
    <w:abstractNumId w:val="18"/>
  </w:num>
  <w:num w:numId="33">
    <w:abstractNumId w:val="32"/>
  </w:num>
  <w:num w:numId="34">
    <w:abstractNumId w:val="17"/>
  </w:num>
  <w:num w:numId="35">
    <w:abstractNumId w:val="8"/>
  </w:num>
  <w:num w:numId="36">
    <w:abstractNumId w:val="1"/>
  </w:num>
  <w:num w:numId="37">
    <w:abstractNumId w:val="33"/>
  </w:num>
  <w:num w:numId="38">
    <w:abstractNumId w:val="5"/>
  </w:num>
  <w:num w:numId="39">
    <w:abstractNumId w:val="22"/>
  </w:num>
  <w:num w:numId="40">
    <w:abstractNumId w:val="48"/>
  </w:num>
  <w:num w:numId="41">
    <w:abstractNumId w:val="40"/>
  </w:num>
  <w:num w:numId="42">
    <w:abstractNumId w:val="10"/>
  </w:num>
  <w:num w:numId="43">
    <w:abstractNumId w:val="34"/>
  </w:num>
  <w:num w:numId="44">
    <w:abstractNumId w:val="7"/>
  </w:num>
  <w:num w:numId="45">
    <w:abstractNumId w:val="28"/>
  </w:num>
  <w:num w:numId="46">
    <w:abstractNumId w:val="49"/>
  </w:num>
  <w:num w:numId="47">
    <w:abstractNumId w:val="16"/>
  </w:num>
  <w:num w:numId="48">
    <w:abstractNumId w:val="6"/>
  </w:num>
  <w:num w:numId="49">
    <w:abstractNumId w:val="45"/>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9857">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5C6"/>
    <w:rsid w:val="00033998"/>
    <w:rsid w:val="00033D3C"/>
    <w:rsid w:val="000341F6"/>
    <w:rsid w:val="0003426B"/>
    <w:rsid w:val="00034F8A"/>
    <w:rsid w:val="000358C2"/>
    <w:rsid w:val="00036781"/>
    <w:rsid w:val="00036D9B"/>
    <w:rsid w:val="000374EA"/>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F5A"/>
    <w:rsid w:val="00066551"/>
    <w:rsid w:val="00067112"/>
    <w:rsid w:val="0006742B"/>
    <w:rsid w:val="00067CC1"/>
    <w:rsid w:val="00067CEA"/>
    <w:rsid w:val="00070EBE"/>
    <w:rsid w:val="0007133A"/>
    <w:rsid w:val="00071E0C"/>
    <w:rsid w:val="00071E7E"/>
    <w:rsid w:val="00071F50"/>
    <w:rsid w:val="00072489"/>
    <w:rsid w:val="00075128"/>
    <w:rsid w:val="000758A5"/>
    <w:rsid w:val="00075F67"/>
    <w:rsid w:val="00075FAD"/>
    <w:rsid w:val="00076079"/>
    <w:rsid w:val="00076680"/>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834"/>
    <w:rsid w:val="000C0FCB"/>
    <w:rsid w:val="000C2021"/>
    <w:rsid w:val="000C2A92"/>
    <w:rsid w:val="000C2DF4"/>
    <w:rsid w:val="000C372D"/>
    <w:rsid w:val="000C39A0"/>
    <w:rsid w:val="000C4614"/>
    <w:rsid w:val="000C47E2"/>
    <w:rsid w:val="000C4AD7"/>
    <w:rsid w:val="000C546F"/>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7B43"/>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56"/>
    <w:rsid w:val="001421C7"/>
    <w:rsid w:val="00142202"/>
    <w:rsid w:val="0014245C"/>
    <w:rsid w:val="001425C0"/>
    <w:rsid w:val="00142FEE"/>
    <w:rsid w:val="001432FF"/>
    <w:rsid w:val="001440D5"/>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6757"/>
    <w:rsid w:val="00156A1A"/>
    <w:rsid w:val="00156DB3"/>
    <w:rsid w:val="00157044"/>
    <w:rsid w:val="001573F9"/>
    <w:rsid w:val="00157560"/>
    <w:rsid w:val="00161C62"/>
    <w:rsid w:val="00162F93"/>
    <w:rsid w:val="00163241"/>
    <w:rsid w:val="0016427F"/>
    <w:rsid w:val="001660C5"/>
    <w:rsid w:val="00166DB6"/>
    <w:rsid w:val="00167588"/>
    <w:rsid w:val="00167FC4"/>
    <w:rsid w:val="0017209C"/>
    <w:rsid w:val="00172F10"/>
    <w:rsid w:val="00173394"/>
    <w:rsid w:val="00175528"/>
    <w:rsid w:val="001757E5"/>
    <w:rsid w:val="00175C44"/>
    <w:rsid w:val="00176899"/>
    <w:rsid w:val="00176D07"/>
    <w:rsid w:val="0018056E"/>
    <w:rsid w:val="00183903"/>
    <w:rsid w:val="00183E20"/>
    <w:rsid w:val="00184D44"/>
    <w:rsid w:val="00184F44"/>
    <w:rsid w:val="00185AA3"/>
    <w:rsid w:val="00185D29"/>
    <w:rsid w:val="00186027"/>
    <w:rsid w:val="001861C3"/>
    <w:rsid w:val="00187A83"/>
    <w:rsid w:val="001912AE"/>
    <w:rsid w:val="00191FD3"/>
    <w:rsid w:val="00192268"/>
    <w:rsid w:val="00193DF8"/>
    <w:rsid w:val="00193E9A"/>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11B7"/>
    <w:rsid w:val="001D14B9"/>
    <w:rsid w:val="001D1750"/>
    <w:rsid w:val="001D18C0"/>
    <w:rsid w:val="001D1C03"/>
    <w:rsid w:val="001D25F5"/>
    <w:rsid w:val="001D3B68"/>
    <w:rsid w:val="001D4B18"/>
    <w:rsid w:val="001D628D"/>
    <w:rsid w:val="001D7A4B"/>
    <w:rsid w:val="001E22CA"/>
    <w:rsid w:val="001E238F"/>
    <w:rsid w:val="001E2590"/>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1861"/>
    <w:rsid w:val="0020265E"/>
    <w:rsid w:val="002030CF"/>
    <w:rsid w:val="00203ECF"/>
    <w:rsid w:val="00204404"/>
    <w:rsid w:val="00204ACF"/>
    <w:rsid w:val="00205FDF"/>
    <w:rsid w:val="00206140"/>
    <w:rsid w:val="002063D7"/>
    <w:rsid w:val="00206522"/>
    <w:rsid w:val="00206547"/>
    <w:rsid w:val="00207A5B"/>
    <w:rsid w:val="002105D7"/>
    <w:rsid w:val="00211BC8"/>
    <w:rsid w:val="00211F06"/>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0E64"/>
    <w:rsid w:val="00241187"/>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542"/>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1838"/>
    <w:rsid w:val="002923DB"/>
    <w:rsid w:val="00292BD3"/>
    <w:rsid w:val="00292E4A"/>
    <w:rsid w:val="00292F1B"/>
    <w:rsid w:val="0029397A"/>
    <w:rsid w:val="00294110"/>
    <w:rsid w:val="0029550B"/>
    <w:rsid w:val="00295522"/>
    <w:rsid w:val="00296472"/>
    <w:rsid w:val="00296627"/>
    <w:rsid w:val="00296EBC"/>
    <w:rsid w:val="002971A0"/>
    <w:rsid w:val="00297B9D"/>
    <w:rsid w:val="002A0F14"/>
    <w:rsid w:val="002A2497"/>
    <w:rsid w:val="002A45F5"/>
    <w:rsid w:val="002A49B1"/>
    <w:rsid w:val="002A6239"/>
    <w:rsid w:val="002A7EDA"/>
    <w:rsid w:val="002B0388"/>
    <w:rsid w:val="002B1F9F"/>
    <w:rsid w:val="002B34B2"/>
    <w:rsid w:val="002B4CB7"/>
    <w:rsid w:val="002B5399"/>
    <w:rsid w:val="002B6AF2"/>
    <w:rsid w:val="002B6F66"/>
    <w:rsid w:val="002B711A"/>
    <w:rsid w:val="002B7F31"/>
    <w:rsid w:val="002C01C2"/>
    <w:rsid w:val="002C0558"/>
    <w:rsid w:val="002C20BD"/>
    <w:rsid w:val="002C38AE"/>
    <w:rsid w:val="002C38B9"/>
    <w:rsid w:val="002C42B7"/>
    <w:rsid w:val="002C45D8"/>
    <w:rsid w:val="002C5DE1"/>
    <w:rsid w:val="002C5EBE"/>
    <w:rsid w:val="002C600F"/>
    <w:rsid w:val="002C6038"/>
    <w:rsid w:val="002C77B7"/>
    <w:rsid w:val="002C7A7D"/>
    <w:rsid w:val="002D00D1"/>
    <w:rsid w:val="002D0FF0"/>
    <w:rsid w:val="002D1E2C"/>
    <w:rsid w:val="002D2C83"/>
    <w:rsid w:val="002D3624"/>
    <w:rsid w:val="002D379A"/>
    <w:rsid w:val="002D37E8"/>
    <w:rsid w:val="002D4A64"/>
    <w:rsid w:val="002D69D3"/>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580E"/>
    <w:rsid w:val="0030786C"/>
    <w:rsid w:val="00310108"/>
    <w:rsid w:val="00310796"/>
    <w:rsid w:val="00310CDA"/>
    <w:rsid w:val="00311337"/>
    <w:rsid w:val="003118A6"/>
    <w:rsid w:val="003119EB"/>
    <w:rsid w:val="00311A26"/>
    <w:rsid w:val="003134E9"/>
    <w:rsid w:val="00313F90"/>
    <w:rsid w:val="003143AA"/>
    <w:rsid w:val="00315720"/>
    <w:rsid w:val="00316B20"/>
    <w:rsid w:val="003176AE"/>
    <w:rsid w:val="003206A0"/>
    <w:rsid w:val="00320FDF"/>
    <w:rsid w:val="0032189A"/>
    <w:rsid w:val="003225AD"/>
    <w:rsid w:val="0032285E"/>
    <w:rsid w:val="00322914"/>
    <w:rsid w:val="0032447D"/>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B7E"/>
    <w:rsid w:val="00364CD9"/>
    <w:rsid w:val="00365835"/>
    <w:rsid w:val="00366497"/>
    <w:rsid w:val="0036662B"/>
    <w:rsid w:val="00366793"/>
    <w:rsid w:val="00366EE7"/>
    <w:rsid w:val="003678AB"/>
    <w:rsid w:val="00370010"/>
    <w:rsid w:val="00370F7D"/>
    <w:rsid w:val="00371C01"/>
    <w:rsid w:val="00372AAE"/>
    <w:rsid w:val="003730B0"/>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932"/>
    <w:rsid w:val="003B0A05"/>
    <w:rsid w:val="003B1169"/>
    <w:rsid w:val="003B1384"/>
    <w:rsid w:val="003B156F"/>
    <w:rsid w:val="003B2044"/>
    <w:rsid w:val="003B20D8"/>
    <w:rsid w:val="003B2624"/>
    <w:rsid w:val="003B2E38"/>
    <w:rsid w:val="003B3CB3"/>
    <w:rsid w:val="003B5B2F"/>
    <w:rsid w:val="003B5B46"/>
    <w:rsid w:val="003B5DE8"/>
    <w:rsid w:val="003B63BD"/>
    <w:rsid w:val="003B76A5"/>
    <w:rsid w:val="003C0C0A"/>
    <w:rsid w:val="003C1CA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E73EC"/>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0BB9"/>
    <w:rsid w:val="004110D2"/>
    <w:rsid w:val="004119BD"/>
    <w:rsid w:val="00411B27"/>
    <w:rsid w:val="00412269"/>
    <w:rsid w:val="00412526"/>
    <w:rsid w:val="00412E96"/>
    <w:rsid w:val="0041350F"/>
    <w:rsid w:val="004157C5"/>
    <w:rsid w:val="0041766C"/>
    <w:rsid w:val="0041777A"/>
    <w:rsid w:val="00417916"/>
    <w:rsid w:val="00417E33"/>
    <w:rsid w:val="0042007B"/>
    <w:rsid w:val="004208EC"/>
    <w:rsid w:val="00421356"/>
    <w:rsid w:val="0042170A"/>
    <w:rsid w:val="00421E34"/>
    <w:rsid w:val="00423AD6"/>
    <w:rsid w:val="00424C72"/>
    <w:rsid w:val="00424EC4"/>
    <w:rsid w:val="00425162"/>
    <w:rsid w:val="00425EC2"/>
    <w:rsid w:val="0042609B"/>
    <w:rsid w:val="004262F6"/>
    <w:rsid w:val="00426C33"/>
    <w:rsid w:val="0042773E"/>
    <w:rsid w:val="00427FFC"/>
    <w:rsid w:val="00430A73"/>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08"/>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8F9"/>
    <w:rsid w:val="00481F34"/>
    <w:rsid w:val="00482CAA"/>
    <w:rsid w:val="00483B6E"/>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2685"/>
    <w:rsid w:val="004D3139"/>
    <w:rsid w:val="004D3853"/>
    <w:rsid w:val="004D46DE"/>
    <w:rsid w:val="004D58C4"/>
    <w:rsid w:val="004D5BB0"/>
    <w:rsid w:val="004D5CC7"/>
    <w:rsid w:val="004D69F6"/>
    <w:rsid w:val="004D6F9B"/>
    <w:rsid w:val="004D750F"/>
    <w:rsid w:val="004E057F"/>
    <w:rsid w:val="004E1201"/>
    <w:rsid w:val="004E18EC"/>
    <w:rsid w:val="004E23D5"/>
    <w:rsid w:val="004F0227"/>
    <w:rsid w:val="004F0DA0"/>
    <w:rsid w:val="004F153C"/>
    <w:rsid w:val="004F2380"/>
    <w:rsid w:val="004F295C"/>
    <w:rsid w:val="004F2D81"/>
    <w:rsid w:val="004F2E44"/>
    <w:rsid w:val="004F2F97"/>
    <w:rsid w:val="004F378A"/>
    <w:rsid w:val="004F3D86"/>
    <w:rsid w:val="004F4209"/>
    <w:rsid w:val="004F51B3"/>
    <w:rsid w:val="004F6BAC"/>
    <w:rsid w:val="004F723C"/>
    <w:rsid w:val="00500A7B"/>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0F72"/>
    <w:rsid w:val="005115C9"/>
    <w:rsid w:val="0051246D"/>
    <w:rsid w:val="005127A5"/>
    <w:rsid w:val="00513269"/>
    <w:rsid w:val="00513D6A"/>
    <w:rsid w:val="005163AB"/>
    <w:rsid w:val="00516D02"/>
    <w:rsid w:val="0051793B"/>
    <w:rsid w:val="005204A5"/>
    <w:rsid w:val="00521805"/>
    <w:rsid w:val="00522A57"/>
    <w:rsid w:val="00522D90"/>
    <w:rsid w:val="00523349"/>
    <w:rsid w:val="00524BB1"/>
    <w:rsid w:val="00524FB6"/>
    <w:rsid w:val="00525774"/>
    <w:rsid w:val="0052583C"/>
    <w:rsid w:val="005261F7"/>
    <w:rsid w:val="00526204"/>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B04"/>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EE"/>
    <w:rsid w:val="005B0B0B"/>
    <w:rsid w:val="005B2B71"/>
    <w:rsid w:val="005B3348"/>
    <w:rsid w:val="005B36C6"/>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5809"/>
    <w:rsid w:val="005F64F6"/>
    <w:rsid w:val="005F6BD3"/>
    <w:rsid w:val="005F6DED"/>
    <w:rsid w:val="005F6E25"/>
    <w:rsid w:val="005F6E5F"/>
    <w:rsid w:val="005F759F"/>
    <w:rsid w:val="005F7D19"/>
    <w:rsid w:val="005F7FD9"/>
    <w:rsid w:val="00600497"/>
    <w:rsid w:val="00600515"/>
    <w:rsid w:val="00600610"/>
    <w:rsid w:val="00600F12"/>
    <w:rsid w:val="00602312"/>
    <w:rsid w:val="006025F1"/>
    <w:rsid w:val="00602D51"/>
    <w:rsid w:val="00602FCC"/>
    <w:rsid w:val="00603574"/>
    <w:rsid w:val="0060471B"/>
    <w:rsid w:val="00607945"/>
    <w:rsid w:val="00607D32"/>
    <w:rsid w:val="00610151"/>
    <w:rsid w:val="00610CCB"/>
    <w:rsid w:val="00610E88"/>
    <w:rsid w:val="006114DD"/>
    <w:rsid w:val="006118D8"/>
    <w:rsid w:val="00612485"/>
    <w:rsid w:val="0061330A"/>
    <w:rsid w:val="0061378A"/>
    <w:rsid w:val="006138DE"/>
    <w:rsid w:val="006144FA"/>
    <w:rsid w:val="006174BE"/>
    <w:rsid w:val="006202B1"/>
    <w:rsid w:val="006210F8"/>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00BD"/>
    <w:rsid w:val="006522D8"/>
    <w:rsid w:val="006534F3"/>
    <w:rsid w:val="0065373D"/>
    <w:rsid w:val="00653807"/>
    <w:rsid w:val="00655D95"/>
    <w:rsid w:val="0065777C"/>
    <w:rsid w:val="00657A1C"/>
    <w:rsid w:val="00657D82"/>
    <w:rsid w:val="00661084"/>
    <w:rsid w:val="00661721"/>
    <w:rsid w:val="00662440"/>
    <w:rsid w:val="00662ED6"/>
    <w:rsid w:val="0066329A"/>
    <w:rsid w:val="00663ADF"/>
    <w:rsid w:val="006647D0"/>
    <w:rsid w:val="00666DC3"/>
    <w:rsid w:val="00670442"/>
    <w:rsid w:val="006708B1"/>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8E1"/>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0C9"/>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790"/>
    <w:rsid w:val="006C180E"/>
    <w:rsid w:val="006C2220"/>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28C"/>
    <w:rsid w:val="00713901"/>
    <w:rsid w:val="00713A04"/>
    <w:rsid w:val="00713B91"/>
    <w:rsid w:val="00714484"/>
    <w:rsid w:val="00714A76"/>
    <w:rsid w:val="00716E97"/>
    <w:rsid w:val="00717F78"/>
    <w:rsid w:val="0072058C"/>
    <w:rsid w:val="00720A84"/>
    <w:rsid w:val="00720C8A"/>
    <w:rsid w:val="00721B24"/>
    <w:rsid w:val="0072273C"/>
    <w:rsid w:val="00722D00"/>
    <w:rsid w:val="00722D3E"/>
    <w:rsid w:val="0072352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5F2C"/>
    <w:rsid w:val="00756033"/>
    <w:rsid w:val="0075613A"/>
    <w:rsid w:val="0075711F"/>
    <w:rsid w:val="007577A6"/>
    <w:rsid w:val="00760095"/>
    <w:rsid w:val="007608F9"/>
    <w:rsid w:val="007622F5"/>
    <w:rsid w:val="0076274E"/>
    <w:rsid w:val="00762CEE"/>
    <w:rsid w:val="007649D5"/>
    <w:rsid w:val="00765A0B"/>
    <w:rsid w:val="00765F08"/>
    <w:rsid w:val="00766C48"/>
    <w:rsid w:val="00767088"/>
    <w:rsid w:val="00767847"/>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1D25"/>
    <w:rsid w:val="007B2308"/>
    <w:rsid w:val="007B2FFF"/>
    <w:rsid w:val="007B3A67"/>
    <w:rsid w:val="007B3C2D"/>
    <w:rsid w:val="007B512A"/>
    <w:rsid w:val="007B591A"/>
    <w:rsid w:val="007B611E"/>
    <w:rsid w:val="007B6FE1"/>
    <w:rsid w:val="007B7A5E"/>
    <w:rsid w:val="007B7D93"/>
    <w:rsid w:val="007C069F"/>
    <w:rsid w:val="007C0BB0"/>
    <w:rsid w:val="007C0BC6"/>
    <w:rsid w:val="007C2097"/>
    <w:rsid w:val="007C2A7C"/>
    <w:rsid w:val="007C35A3"/>
    <w:rsid w:val="007C4FE0"/>
    <w:rsid w:val="007C534C"/>
    <w:rsid w:val="007C53FE"/>
    <w:rsid w:val="007C54E5"/>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E7BA3"/>
    <w:rsid w:val="007F086E"/>
    <w:rsid w:val="007F12B1"/>
    <w:rsid w:val="007F13BF"/>
    <w:rsid w:val="007F14F4"/>
    <w:rsid w:val="007F1BC1"/>
    <w:rsid w:val="007F1D34"/>
    <w:rsid w:val="007F1E03"/>
    <w:rsid w:val="007F3BA0"/>
    <w:rsid w:val="007F3C39"/>
    <w:rsid w:val="007F41DC"/>
    <w:rsid w:val="007F44D0"/>
    <w:rsid w:val="007F64F4"/>
    <w:rsid w:val="007F7D6A"/>
    <w:rsid w:val="007F7EBF"/>
    <w:rsid w:val="00800157"/>
    <w:rsid w:val="0080041B"/>
    <w:rsid w:val="00800E12"/>
    <w:rsid w:val="008021C0"/>
    <w:rsid w:val="0080279C"/>
    <w:rsid w:val="00803767"/>
    <w:rsid w:val="00803779"/>
    <w:rsid w:val="008042EC"/>
    <w:rsid w:val="00804680"/>
    <w:rsid w:val="0080479C"/>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E07"/>
    <w:rsid w:val="00816F8E"/>
    <w:rsid w:val="008179B8"/>
    <w:rsid w:val="00820FC9"/>
    <w:rsid w:val="00821246"/>
    <w:rsid w:val="0082192A"/>
    <w:rsid w:val="00821DA7"/>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68E1"/>
    <w:rsid w:val="00837A4B"/>
    <w:rsid w:val="00840378"/>
    <w:rsid w:val="00842E62"/>
    <w:rsid w:val="008430F3"/>
    <w:rsid w:val="0084368B"/>
    <w:rsid w:val="00843DE4"/>
    <w:rsid w:val="00844353"/>
    <w:rsid w:val="00844D72"/>
    <w:rsid w:val="00845171"/>
    <w:rsid w:val="008463C6"/>
    <w:rsid w:val="008471BC"/>
    <w:rsid w:val="00850929"/>
    <w:rsid w:val="00850994"/>
    <w:rsid w:val="0085190B"/>
    <w:rsid w:val="00851DC2"/>
    <w:rsid w:val="00851DFA"/>
    <w:rsid w:val="00851EA0"/>
    <w:rsid w:val="00853957"/>
    <w:rsid w:val="00853F14"/>
    <w:rsid w:val="00855509"/>
    <w:rsid w:val="00856516"/>
    <w:rsid w:val="00857C37"/>
    <w:rsid w:val="00857D74"/>
    <w:rsid w:val="008617DE"/>
    <w:rsid w:val="00861C41"/>
    <w:rsid w:val="008626E7"/>
    <w:rsid w:val="00862C2B"/>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38A0"/>
    <w:rsid w:val="008B45BB"/>
    <w:rsid w:val="008B4FBF"/>
    <w:rsid w:val="008B5B4B"/>
    <w:rsid w:val="008B64ED"/>
    <w:rsid w:val="008B66D4"/>
    <w:rsid w:val="008B71EB"/>
    <w:rsid w:val="008B74D5"/>
    <w:rsid w:val="008B7542"/>
    <w:rsid w:val="008C16B1"/>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2E5E"/>
    <w:rsid w:val="008D3788"/>
    <w:rsid w:val="008D4C93"/>
    <w:rsid w:val="008D517B"/>
    <w:rsid w:val="008D57D9"/>
    <w:rsid w:val="008D5FDA"/>
    <w:rsid w:val="008D62E8"/>
    <w:rsid w:val="008D6389"/>
    <w:rsid w:val="008D68A3"/>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E37"/>
    <w:rsid w:val="009129C5"/>
    <w:rsid w:val="009138D3"/>
    <w:rsid w:val="00913ED2"/>
    <w:rsid w:val="00914673"/>
    <w:rsid w:val="00914934"/>
    <w:rsid w:val="00914E34"/>
    <w:rsid w:val="00915494"/>
    <w:rsid w:val="00917018"/>
    <w:rsid w:val="00917F86"/>
    <w:rsid w:val="0092057E"/>
    <w:rsid w:val="00920616"/>
    <w:rsid w:val="0092211C"/>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5C54"/>
    <w:rsid w:val="00946650"/>
    <w:rsid w:val="00946F6D"/>
    <w:rsid w:val="00946FF3"/>
    <w:rsid w:val="00947D3A"/>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237"/>
    <w:rsid w:val="00967AC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2F38"/>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21"/>
    <w:rsid w:val="009A30D1"/>
    <w:rsid w:val="009A32B0"/>
    <w:rsid w:val="009A6634"/>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565"/>
    <w:rsid w:val="009D7FE4"/>
    <w:rsid w:val="009E2AE1"/>
    <w:rsid w:val="009E3297"/>
    <w:rsid w:val="009E33A6"/>
    <w:rsid w:val="009E3CDD"/>
    <w:rsid w:val="009F0767"/>
    <w:rsid w:val="009F09A7"/>
    <w:rsid w:val="009F22C4"/>
    <w:rsid w:val="009F2EA4"/>
    <w:rsid w:val="009F556A"/>
    <w:rsid w:val="009F636F"/>
    <w:rsid w:val="009F6794"/>
    <w:rsid w:val="009F6E44"/>
    <w:rsid w:val="009F701B"/>
    <w:rsid w:val="009F7C7C"/>
    <w:rsid w:val="009F7DEB"/>
    <w:rsid w:val="00A005AA"/>
    <w:rsid w:val="00A00A37"/>
    <w:rsid w:val="00A01FBD"/>
    <w:rsid w:val="00A024CC"/>
    <w:rsid w:val="00A02BB6"/>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D4F"/>
    <w:rsid w:val="00A20EDF"/>
    <w:rsid w:val="00A21903"/>
    <w:rsid w:val="00A22DB5"/>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5B59"/>
    <w:rsid w:val="00A561C4"/>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77AD2"/>
    <w:rsid w:val="00A8005D"/>
    <w:rsid w:val="00A801A4"/>
    <w:rsid w:val="00A81A24"/>
    <w:rsid w:val="00A81E4F"/>
    <w:rsid w:val="00A84041"/>
    <w:rsid w:val="00A84A2A"/>
    <w:rsid w:val="00A877CF"/>
    <w:rsid w:val="00A87A38"/>
    <w:rsid w:val="00A90726"/>
    <w:rsid w:val="00A9073E"/>
    <w:rsid w:val="00A90A2A"/>
    <w:rsid w:val="00A92401"/>
    <w:rsid w:val="00A936CB"/>
    <w:rsid w:val="00A93A24"/>
    <w:rsid w:val="00A95728"/>
    <w:rsid w:val="00A963A4"/>
    <w:rsid w:val="00A9641D"/>
    <w:rsid w:val="00A96F4B"/>
    <w:rsid w:val="00A97834"/>
    <w:rsid w:val="00A97E46"/>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E7E"/>
    <w:rsid w:val="00AB3F02"/>
    <w:rsid w:val="00AB4312"/>
    <w:rsid w:val="00AB5AF0"/>
    <w:rsid w:val="00AB5E52"/>
    <w:rsid w:val="00AB6E0B"/>
    <w:rsid w:val="00AB7827"/>
    <w:rsid w:val="00AC21E3"/>
    <w:rsid w:val="00AC2CD7"/>
    <w:rsid w:val="00AC3007"/>
    <w:rsid w:val="00AC3513"/>
    <w:rsid w:val="00AC3E0A"/>
    <w:rsid w:val="00AC3F5B"/>
    <w:rsid w:val="00AC43FD"/>
    <w:rsid w:val="00AC4452"/>
    <w:rsid w:val="00AC49B0"/>
    <w:rsid w:val="00AC5F48"/>
    <w:rsid w:val="00AC6D10"/>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02A6"/>
    <w:rsid w:val="00B01093"/>
    <w:rsid w:val="00B01672"/>
    <w:rsid w:val="00B019A1"/>
    <w:rsid w:val="00B01FF6"/>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2AEC"/>
    <w:rsid w:val="00B12C90"/>
    <w:rsid w:val="00B13859"/>
    <w:rsid w:val="00B13F90"/>
    <w:rsid w:val="00B15317"/>
    <w:rsid w:val="00B20234"/>
    <w:rsid w:val="00B2175E"/>
    <w:rsid w:val="00B21BAA"/>
    <w:rsid w:val="00B2389C"/>
    <w:rsid w:val="00B23BE2"/>
    <w:rsid w:val="00B23EDD"/>
    <w:rsid w:val="00B23EEB"/>
    <w:rsid w:val="00B244E4"/>
    <w:rsid w:val="00B24CF7"/>
    <w:rsid w:val="00B24E6A"/>
    <w:rsid w:val="00B2513E"/>
    <w:rsid w:val="00B258BB"/>
    <w:rsid w:val="00B26521"/>
    <w:rsid w:val="00B26F92"/>
    <w:rsid w:val="00B279C1"/>
    <w:rsid w:val="00B27F5B"/>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32A"/>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39E6"/>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6959"/>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116"/>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5FD"/>
    <w:rsid w:val="00C03785"/>
    <w:rsid w:val="00C0387C"/>
    <w:rsid w:val="00C1017A"/>
    <w:rsid w:val="00C102EB"/>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080"/>
    <w:rsid w:val="00C251A0"/>
    <w:rsid w:val="00C2680C"/>
    <w:rsid w:val="00C26B7B"/>
    <w:rsid w:val="00C3077F"/>
    <w:rsid w:val="00C310F8"/>
    <w:rsid w:val="00C312A8"/>
    <w:rsid w:val="00C31C0F"/>
    <w:rsid w:val="00C31D1B"/>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77C"/>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6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6E5"/>
    <w:rsid w:val="00CA08D0"/>
    <w:rsid w:val="00CA0E26"/>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518D"/>
    <w:rsid w:val="00CC729F"/>
    <w:rsid w:val="00CC7C84"/>
    <w:rsid w:val="00CD11C0"/>
    <w:rsid w:val="00CD1510"/>
    <w:rsid w:val="00CD1E45"/>
    <w:rsid w:val="00CD2658"/>
    <w:rsid w:val="00CD54BF"/>
    <w:rsid w:val="00CD59F2"/>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43C7"/>
    <w:rsid w:val="00D15012"/>
    <w:rsid w:val="00D15861"/>
    <w:rsid w:val="00D16AEB"/>
    <w:rsid w:val="00D16D25"/>
    <w:rsid w:val="00D172A6"/>
    <w:rsid w:val="00D20271"/>
    <w:rsid w:val="00D2027D"/>
    <w:rsid w:val="00D20E22"/>
    <w:rsid w:val="00D2100D"/>
    <w:rsid w:val="00D21B4C"/>
    <w:rsid w:val="00D21FF6"/>
    <w:rsid w:val="00D22937"/>
    <w:rsid w:val="00D23709"/>
    <w:rsid w:val="00D237F5"/>
    <w:rsid w:val="00D239E4"/>
    <w:rsid w:val="00D23E40"/>
    <w:rsid w:val="00D24270"/>
    <w:rsid w:val="00D2593B"/>
    <w:rsid w:val="00D25DEF"/>
    <w:rsid w:val="00D2652A"/>
    <w:rsid w:val="00D26571"/>
    <w:rsid w:val="00D27486"/>
    <w:rsid w:val="00D279A1"/>
    <w:rsid w:val="00D30410"/>
    <w:rsid w:val="00D31362"/>
    <w:rsid w:val="00D32AE4"/>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CB9"/>
    <w:rsid w:val="00D47E86"/>
    <w:rsid w:val="00D50252"/>
    <w:rsid w:val="00D50345"/>
    <w:rsid w:val="00D51C09"/>
    <w:rsid w:val="00D5284F"/>
    <w:rsid w:val="00D5290B"/>
    <w:rsid w:val="00D52AB9"/>
    <w:rsid w:val="00D52DC7"/>
    <w:rsid w:val="00D52F08"/>
    <w:rsid w:val="00D53374"/>
    <w:rsid w:val="00D53447"/>
    <w:rsid w:val="00D534FA"/>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67FD3"/>
    <w:rsid w:val="00D7053B"/>
    <w:rsid w:val="00D712EA"/>
    <w:rsid w:val="00D71477"/>
    <w:rsid w:val="00D714F5"/>
    <w:rsid w:val="00D73503"/>
    <w:rsid w:val="00D73F79"/>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0A3"/>
    <w:rsid w:val="00D939A6"/>
    <w:rsid w:val="00D94305"/>
    <w:rsid w:val="00D945A7"/>
    <w:rsid w:val="00D955E8"/>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4F5C"/>
    <w:rsid w:val="00DA522C"/>
    <w:rsid w:val="00DA5488"/>
    <w:rsid w:val="00DA5B72"/>
    <w:rsid w:val="00DA6051"/>
    <w:rsid w:val="00DA62E1"/>
    <w:rsid w:val="00DB094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4976"/>
    <w:rsid w:val="00DC51BB"/>
    <w:rsid w:val="00DC6780"/>
    <w:rsid w:val="00DC7F44"/>
    <w:rsid w:val="00DD07AA"/>
    <w:rsid w:val="00DD0BC9"/>
    <w:rsid w:val="00DD34F6"/>
    <w:rsid w:val="00DD3AD7"/>
    <w:rsid w:val="00DD4947"/>
    <w:rsid w:val="00DD541C"/>
    <w:rsid w:val="00DD5FC2"/>
    <w:rsid w:val="00DD6FE3"/>
    <w:rsid w:val="00DD7FB2"/>
    <w:rsid w:val="00DE0794"/>
    <w:rsid w:val="00DE099B"/>
    <w:rsid w:val="00DE132E"/>
    <w:rsid w:val="00DE1583"/>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32FA"/>
    <w:rsid w:val="00DF434A"/>
    <w:rsid w:val="00DF4C50"/>
    <w:rsid w:val="00DF706F"/>
    <w:rsid w:val="00DF7125"/>
    <w:rsid w:val="00DF77F6"/>
    <w:rsid w:val="00E015DC"/>
    <w:rsid w:val="00E017C8"/>
    <w:rsid w:val="00E02924"/>
    <w:rsid w:val="00E02D29"/>
    <w:rsid w:val="00E030D0"/>
    <w:rsid w:val="00E032E7"/>
    <w:rsid w:val="00E034F1"/>
    <w:rsid w:val="00E035DD"/>
    <w:rsid w:val="00E0454C"/>
    <w:rsid w:val="00E047B2"/>
    <w:rsid w:val="00E058A6"/>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8F5"/>
    <w:rsid w:val="00E30ADA"/>
    <w:rsid w:val="00E30DCB"/>
    <w:rsid w:val="00E32003"/>
    <w:rsid w:val="00E3230A"/>
    <w:rsid w:val="00E33396"/>
    <w:rsid w:val="00E33898"/>
    <w:rsid w:val="00E34D0D"/>
    <w:rsid w:val="00E35601"/>
    <w:rsid w:val="00E3580C"/>
    <w:rsid w:val="00E41548"/>
    <w:rsid w:val="00E41EC3"/>
    <w:rsid w:val="00E42331"/>
    <w:rsid w:val="00E4269D"/>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368C"/>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5CA"/>
    <w:rsid w:val="00EB3674"/>
    <w:rsid w:val="00EB3D1F"/>
    <w:rsid w:val="00EB49FD"/>
    <w:rsid w:val="00EB51C7"/>
    <w:rsid w:val="00EB52B6"/>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03ED"/>
    <w:rsid w:val="00ED1879"/>
    <w:rsid w:val="00ED2220"/>
    <w:rsid w:val="00ED29CC"/>
    <w:rsid w:val="00ED31FF"/>
    <w:rsid w:val="00ED363C"/>
    <w:rsid w:val="00ED3F3D"/>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85B"/>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C02"/>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17"/>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CFE"/>
    <w:rsid w:val="00F67D84"/>
    <w:rsid w:val="00F67F6D"/>
    <w:rsid w:val="00F70E51"/>
    <w:rsid w:val="00F7161B"/>
    <w:rsid w:val="00F71FD4"/>
    <w:rsid w:val="00F728CB"/>
    <w:rsid w:val="00F72B7F"/>
    <w:rsid w:val="00F73595"/>
    <w:rsid w:val="00F740C8"/>
    <w:rsid w:val="00F746D7"/>
    <w:rsid w:val="00F7597C"/>
    <w:rsid w:val="00F75AC0"/>
    <w:rsid w:val="00F76A56"/>
    <w:rsid w:val="00F774DF"/>
    <w:rsid w:val="00F80687"/>
    <w:rsid w:val="00F81268"/>
    <w:rsid w:val="00F81DED"/>
    <w:rsid w:val="00F82403"/>
    <w:rsid w:val="00F8255C"/>
    <w:rsid w:val="00F830FB"/>
    <w:rsid w:val="00F8373D"/>
    <w:rsid w:val="00F83C67"/>
    <w:rsid w:val="00F83EB0"/>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57B"/>
    <w:rsid w:val="00F94BD8"/>
    <w:rsid w:val="00F96980"/>
    <w:rsid w:val="00F973A1"/>
    <w:rsid w:val="00F97C1E"/>
    <w:rsid w:val="00FA1F18"/>
    <w:rsid w:val="00FA213D"/>
    <w:rsid w:val="00FA2577"/>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BC2"/>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A2D"/>
    <w:rsid w:val="00FF6B12"/>
    <w:rsid w:val="00FF6DA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semiHidden/>
    <w:unhideWhenUsed/>
    <w:rsid w:val="00211F06"/>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xmlns:b="http://schemas.openxmlformats.org/officeDocument/2006/bibliography" xmlns="http://schemas.openxmlformats.org/officeDocument/2006/bibliography">
    <b:Tag>2</b:Tag>
    <b:RefOrder>2</b:RefOrder>
  </b:Source>
  <b:Source>
    <b:Tag>R</b:Tag>
    <b:SourceType>Report</b:SourceType>
    <b:Guid>{C1AB6642-FA9E-44C5-BFFD-6DBB91116887}</b:Guid>
    <b:Title>R</b:Title>
    <b:RefOrder>1</b:RefOrder>
  </b:Source>
</b:Sources>
</file>

<file path=customXml/itemProps1.xml><?xml version="1.0" encoding="utf-8"?>
<ds:datastoreItem xmlns:ds="http://schemas.openxmlformats.org/officeDocument/2006/customXml" ds:itemID="{CBBD0EB1-F73D-47B8-BDC3-AAD88028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2017-05-06T01:47:00Z</dcterms:created>
  <dcterms:modified xsi:type="dcterms:W3CDTF">2017-05-06T01:47:00Z</dcterms:modified>
</cp:coreProperties>
</file>